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9" w:rsidRDefault="00CB2039" w:rsidP="00CB2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Литература по Источниковедению</w:t>
      </w:r>
    </w:p>
    <w:p w:rsidR="00CB2039" w:rsidRPr="00CB2039" w:rsidRDefault="00CB2039" w:rsidP="00CB2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00000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bCs/>
          <w:sz w:val="28"/>
          <w:szCs w:val="28"/>
        </w:rPr>
        <w:t xml:space="preserve">Мировая история, историография и источниковедение в системе </w:t>
      </w:r>
      <w:proofErr w:type="spellStart"/>
      <w:r w:rsidRPr="00CB2039">
        <w:rPr>
          <w:rFonts w:ascii="Times New Roman" w:hAnsi="Times New Roman" w:cs="Times New Roman"/>
          <w:bCs/>
          <w:sz w:val="28"/>
          <w:szCs w:val="28"/>
        </w:rPr>
        <w:t>инновационно-научного</w:t>
      </w:r>
      <w:proofErr w:type="spellEnd"/>
      <w:r w:rsidRPr="00CB2039">
        <w:rPr>
          <w:rFonts w:ascii="Times New Roman" w:hAnsi="Times New Roman" w:cs="Times New Roman"/>
          <w:bCs/>
          <w:sz w:val="28"/>
          <w:szCs w:val="28"/>
        </w:rPr>
        <w:t xml:space="preserve"> познания</w:t>
      </w:r>
      <w:r w:rsidRPr="00CB2039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науч.-теорет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., 26-27 апр. 2013 г. / МОН РК,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 и др.; [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.: Г. М.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Мутанов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 (пред.) и др.].-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CB203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CB2039">
        <w:rPr>
          <w:rFonts w:ascii="Times New Roman" w:hAnsi="Times New Roman" w:cs="Times New Roman"/>
          <w:sz w:val="28"/>
          <w:szCs w:val="28"/>
        </w:rPr>
        <w:t>, 2013.- 343, [1] с.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>Янин В. Л. Очерики комплексного источниковедения М., 1967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>Пронштейн А. П. Методика исторического источн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иковедения. Ростов на Дону., 200</w:t>
      </w:r>
      <w:r w:rsidRPr="00CB2039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CB2039" w:rsidRPr="00B939B7" w:rsidRDefault="00CB2039" w:rsidP="00B939B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>Козаржевский А.Ч. Источниковедческие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 xml:space="preserve"> проблемы реннехристианской литературы. М., 200</w:t>
      </w:r>
      <w:r w:rsidRPr="00B939B7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Всемирное писание. Сравнительная антология священных текстов. М.,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2009</w:t>
      </w:r>
      <w:r w:rsidRPr="00CB203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Мень А. История религии: в поисках Пути, Истины и Жизни. М.,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2011</w:t>
      </w:r>
      <w:r w:rsidRPr="00CB20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Упанишады. М.,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2010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Джатаки. М.,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2009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Дхаммапада Пер. В. Топорова. М 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B203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>Лунь юй. Пер. П. Попова(любое из-е).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Буддиские Сутты. Пер. Н. Герасимова. М.,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2012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Авеста: таңдамалы гимндер. Душанбе, </w:t>
      </w:r>
      <w:r w:rsidR="00B939B7">
        <w:rPr>
          <w:rFonts w:ascii="Times New Roman" w:hAnsi="Times New Roman" w:cs="Times New Roman"/>
          <w:sz w:val="28"/>
          <w:szCs w:val="28"/>
          <w:lang w:val="kk-KZ"/>
        </w:rPr>
        <w:t>2007</w:t>
      </w: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>Библия (кез келген басылымы);</w:t>
      </w:r>
    </w:p>
    <w:p w:rsidR="00CB2039" w:rsidRPr="00CB2039" w:rsidRDefault="00CB2039" w:rsidP="00CB20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039">
        <w:rPr>
          <w:rFonts w:ascii="Times New Roman" w:hAnsi="Times New Roman" w:cs="Times New Roman"/>
          <w:sz w:val="28"/>
          <w:szCs w:val="28"/>
          <w:lang w:val="kk-KZ"/>
        </w:rPr>
        <w:t xml:space="preserve">Құран (кез келген басылымы); </w:t>
      </w:r>
    </w:p>
    <w:p w:rsidR="00CB2039" w:rsidRPr="00CB2039" w:rsidRDefault="00CB2039">
      <w:pPr>
        <w:rPr>
          <w:lang w:val="kk-KZ"/>
        </w:rPr>
      </w:pPr>
    </w:p>
    <w:sectPr w:rsidR="00CB2039" w:rsidRPr="00CB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59C"/>
    <w:multiLevelType w:val="hybridMultilevel"/>
    <w:tmpl w:val="763A1F82"/>
    <w:lvl w:ilvl="0" w:tplc="2876B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80D"/>
    <w:multiLevelType w:val="hybridMultilevel"/>
    <w:tmpl w:val="B71C1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B72B4"/>
    <w:multiLevelType w:val="hybridMultilevel"/>
    <w:tmpl w:val="53426D56"/>
    <w:lvl w:ilvl="0" w:tplc="A476B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05118"/>
    <w:multiLevelType w:val="hybridMultilevel"/>
    <w:tmpl w:val="B3AE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26CC"/>
    <w:multiLevelType w:val="hybridMultilevel"/>
    <w:tmpl w:val="358E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039"/>
    <w:rsid w:val="00B939B7"/>
    <w:rsid w:val="00C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2014-10-06T15:18:00Z</dcterms:created>
  <dcterms:modified xsi:type="dcterms:W3CDTF">2014-10-06T15:30:00Z</dcterms:modified>
</cp:coreProperties>
</file>